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167D">
      <w:pPr>
        <w:spacing w:after="0" w:line="240" w:lineRule="auto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48B06A7D">
      <w:pPr>
        <w:spacing w:after="0" w:line="240" w:lineRule="auto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赛队融资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意向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调查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表</w:t>
      </w:r>
    </w:p>
    <w:bookmarkEnd w:id="0"/>
    <w:p w14:paraId="23A2532F">
      <w:pPr>
        <w:spacing w:after="0" w:line="240" w:lineRule="auto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赛队</w:t>
      </w:r>
      <w:r>
        <w:rPr>
          <w:rFonts w:ascii="仿宋_GB2312" w:eastAsia="仿宋_GB2312"/>
          <w:b/>
          <w:bCs/>
          <w:sz w:val="28"/>
          <w:szCs w:val="28"/>
        </w:rPr>
        <w:t>名称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</w:p>
    <w:p w14:paraId="504C9275">
      <w:pPr>
        <w:spacing w:after="0" w:line="240" w:lineRule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</w:p>
    <w:p w14:paraId="40A4DCD8">
      <w:pPr>
        <w:spacing w:after="0"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所属领域</w:t>
      </w:r>
      <w:r>
        <w:rPr>
          <w:rFonts w:ascii="仿宋_GB2312" w:eastAsia="仿宋_GB2312"/>
          <w:sz w:val="28"/>
          <w:szCs w:val="28"/>
        </w:rPr>
        <w:t>：□高端仪器和制造设备 □人工智能 □网信 □无人系统 □航空航天</w:t>
      </w:r>
    </w:p>
    <w:p w14:paraId="42EAD51B">
      <w:pPr>
        <w:spacing w:after="0" w:line="24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路演编号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b/>
          <w:bCs/>
          <w:sz w:val="28"/>
          <w:szCs w:val="28"/>
        </w:rPr>
        <w:t>（由组委会统一分配）</w:t>
      </w:r>
    </w:p>
    <w:p w14:paraId="76FFDA7D">
      <w:pPr>
        <w:spacing w:after="0" w:line="240" w:lineRule="auto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/>
          <w:b/>
          <w:bCs/>
          <w:sz w:val="28"/>
          <w:szCs w:val="28"/>
        </w:rPr>
        <w:t>团队负责人：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</w:t>
      </w:r>
      <w:r>
        <w:rPr>
          <w:rFonts w:ascii="仿宋_GB2312" w:eastAsia="仿宋_GB2312"/>
          <w:b/>
          <w:bCs/>
          <w:sz w:val="28"/>
          <w:szCs w:val="28"/>
        </w:rPr>
        <w:t>联系电话：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</w:t>
      </w:r>
    </w:p>
    <w:p w14:paraId="7B267147">
      <w:pPr>
        <w:spacing w:after="0" w:line="24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填表日期</w:t>
      </w:r>
      <w:r>
        <w:rPr>
          <w:rFonts w:ascii="仿宋_GB2312" w:eastAsia="仿宋_GB2312"/>
          <w:sz w:val="28"/>
          <w:szCs w:val="28"/>
        </w:rPr>
        <w:t>：2025年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</w:rPr>
        <w:t>日</w:t>
      </w:r>
    </w:p>
    <w:p w14:paraId="0111EA95">
      <w:pPr>
        <w:spacing w:after="0" w:line="240" w:lineRule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一、项目融资基础信息</w:t>
      </w:r>
    </w:p>
    <w:tbl>
      <w:tblPr>
        <w:tblStyle w:val="1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805"/>
        <w:gridCol w:w="5717"/>
      </w:tblGrid>
      <w:tr w14:paraId="3F7E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0" w:hRule="atLeast"/>
          <w:tblHeader/>
          <w:jc w:val="center"/>
        </w:trPr>
        <w:tc>
          <w:tcPr>
            <w:tcW w:w="28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B3B91">
            <w:pPr>
              <w:snapToGrid w:val="0"/>
              <w:spacing w:after="0" w:line="24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融资阶段</w:t>
            </w:r>
          </w:p>
        </w:tc>
        <w:tc>
          <w:tcPr>
            <w:tcW w:w="5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1B8F43B">
            <w:pPr>
              <w:snapToGrid w:val="0"/>
              <w:spacing w:after="0" w:line="240" w:lineRule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□种子轮 □天使轮 □A 轮 □B 轮 □C 轮及以后 □上市前</w:t>
            </w:r>
          </w:p>
        </w:tc>
      </w:tr>
      <w:tr w14:paraId="131E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061D1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融资金额需求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E8583D0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万元（人民币）</w:t>
            </w:r>
          </w:p>
        </w:tc>
      </w:tr>
      <w:tr w14:paraId="29FB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3D55F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资金用途（可分点说明）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B09101E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</w:t>
            </w:r>
          </w:p>
          <w:p w14:paraId="04077776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</w:t>
            </w:r>
          </w:p>
          <w:p w14:paraId="68CD607F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</w:t>
            </w:r>
          </w:p>
          <w:p w14:paraId="650F64C9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</w:rPr>
            </w:pPr>
          </w:p>
        </w:tc>
      </w:tr>
      <w:tr w14:paraId="7DB7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68BE3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出让股权比例（如有）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0B15284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% □暂不考虑股权融资（□债权融资 □其他方式</w:t>
            </w: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 w14:paraId="7E8DAD10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3F5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E8FD4DB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项目核心优势（简要说明，限 200 字内）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F2E7530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</w:rPr>
            </w:pP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                            </w:t>
            </w:r>
          </w:p>
          <w:p w14:paraId="4383CE06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</w:rPr>
            </w:pP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             </w:t>
            </w:r>
          </w:p>
          <w:p w14:paraId="6EE5E0FF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40"/>
                <w:szCs w:val="40"/>
                <w:u w:val="single"/>
                <w:lang w:val="en-US" w:eastAsia="zh-CN"/>
              </w:rPr>
              <w:t xml:space="preserve">              </w:t>
            </w:r>
          </w:p>
          <w:p w14:paraId="4DAC5FDE">
            <w:pPr>
              <w:snapToGrid w:val="0"/>
              <w:spacing w:after="0" w:line="240" w:lineRule="auto"/>
              <w:rPr>
                <w:rFonts w:hint="eastAsia" w:ascii="仿宋_GB2312" w:eastAsia="仿宋_GB2312"/>
                <w:sz w:val="40"/>
                <w:szCs w:val="4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u w:val="single"/>
                <w:lang w:val="en-US" w:eastAsia="zh-CN"/>
              </w:rPr>
              <w:t xml:space="preserve">                             </w:t>
            </w:r>
          </w:p>
          <w:p w14:paraId="2950B517">
            <w:pPr>
              <w:snapToGrid w:val="0"/>
              <w:spacing w:after="0" w:line="240" w:lineRule="auto"/>
              <w:rPr>
                <w:rFonts w:hint="default" w:ascii="仿宋_GB2312" w:eastAsia="仿宋_GB2312"/>
                <w:sz w:val="40"/>
                <w:szCs w:val="4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u w:val="single"/>
                <w:lang w:val="en-US" w:eastAsia="zh-CN"/>
              </w:rPr>
              <w:t xml:space="preserve">                           </w:t>
            </w:r>
          </w:p>
        </w:tc>
      </w:tr>
    </w:tbl>
    <w:p w14:paraId="674D479E"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br w:type="page"/>
      </w:r>
    </w:p>
    <w:p w14:paraId="7CA9513A">
      <w:pPr>
        <w:spacing w:after="0" w:line="240" w:lineRule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二、投资机构对接意向</w:t>
      </w:r>
    </w:p>
    <w:tbl>
      <w:tblPr>
        <w:tblStyle w:val="15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474"/>
        <w:gridCol w:w="2540"/>
        <w:gridCol w:w="1415"/>
        <w:gridCol w:w="1561"/>
        <w:gridCol w:w="2508"/>
      </w:tblGrid>
      <w:tr w14:paraId="72EE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1899" w:hRule="atLeast"/>
          <w:tblHeader/>
          <w:jc w:val="center"/>
        </w:trPr>
        <w:tc>
          <w:tcPr>
            <w:tcW w:w="4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65E7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2BEF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拟邀投资机构名称</w:t>
            </w:r>
          </w:p>
          <w:p w14:paraId="61A09AC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（参考组委会提供的《拟邀投资机构名单》）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4F6E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是否有意向对接</w:t>
            </w:r>
          </w:p>
          <w:p w14:paraId="6646F59D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（□是□否）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0C85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关注机构核心资源</w:t>
            </w:r>
          </w:p>
          <w:p w14:paraId="0064F37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（可另附说明）</w:t>
            </w:r>
          </w:p>
        </w:tc>
        <w:tc>
          <w:tcPr>
            <w:tcW w:w="25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5BB2BC4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希望对接形式</w:t>
            </w:r>
          </w:p>
          <w:p w14:paraId="2090165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（□一对一交流□路演后答疑□资料推送□其他）</w:t>
            </w:r>
          </w:p>
        </w:tc>
      </w:tr>
      <w:tr w14:paraId="262B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AE41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D491B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A693A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3966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7EEFB4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6338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3EE0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F551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119D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8506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AE235D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5E82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919C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4FDED5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479E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57BB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A49064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404A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49404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F48C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6CBC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4B65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6B4C72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69F6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9ADB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B144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517B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ADAE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DCCEEEA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0A38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3409A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260E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BB19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7DE1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23F1C93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19C2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66ED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719E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A819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B9983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5FD195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690D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4E23B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7C5E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F176A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20CB5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6AE555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7578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BBB8B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6B6F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5D1A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A0A0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1F1EA3A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5F16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67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AADE75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C91CE6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0A8035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893C8E3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88E887B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 w14:paraId="1A5C8B1A">
      <w:pPr>
        <w:rPr>
          <w:rFonts w:hint="eastAsia" w:ascii="仿宋_GB2312" w:hAnsi="黑体" w:eastAsia="仿宋_GB2312"/>
          <w:sz w:val="28"/>
          <w:szCs w:val="28"/>
        </w:rPr>
      </w:pPr>
    </w:p>
    <w:sectPr>
      <w:footerReference r:id="rId5" w:type="default"/>
      <w:pgSz w:w="11906" w:h="16838"/>
      <w:pgMar w:top="122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4D1A90-F88B-406E-A300-C85477C27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7009EFF-C327-499C-9AB1-64443BF03B6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D99924FD-5387-4F2B-BCA0-B8F1957BBA8A}"/>
  </w:font>
  <w:font w:name="方正黑体_GBK">
    <w:altName w:val="微软雅黑"/>
    <w:panose1 w:val="0201060001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4" w:fontKey="{DC449A5D-5614-4CBE-A612-71DE0B1B44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56A2">
    <w:pPr>
      <w:pStyle w:val="11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A79022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79022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2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2F5597"/>
      <w:sz w:val="48"/>
      <w:szCs w:val="4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2F5597"/>
      <w:sz w:val="40"/>
      <w:szCs w:val="40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2F5597"/>
      <w:sz w:val="32"/>
      <w:szCs w:val="32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80" w:after="40"/>
      <w:outlineLvl w:val="3"/>
    </w:pPr>
    <w:rPr>
      <w:rFonts w:cs="宋体"/>
      <w:color w:val="2F5597"/>
      <w:sz w:val="28"/>
      <w:szCs w:val="28"/>
    </w:rPr>
  </w:style>
  <w:style w:type="paragraph" w:styleId="6">
    <w:name w:val="heading 5"/>
    <w:basedOn w:val="1"/>
    <w:next w:val="1"/>
    <w:link w:val="21"/>
    <w:qFormat/>
    <w:uiPriority w:val="9"/>
    <w:pPr>
      <w:keepNext/>
      <w:keepLines/>
      <w:spacing w:before="80" w:after="40"/>
      <w:outlineLvl w:val="4"/>
    </w:pPr>
    <w:rPr>
      <w:rFonts w:cs="宋体"/>
      <w:color w:val="2F5597"/>
      <w:sz w:val="24"/>
    </w:rPr>
  </w:style>
  <w:style w:type="paragraph" w:styleId="7">
    <w:name w:val="heading 6"/>
    <w:basedOn w:val="1"/>
    <w:next w:val="1"/>
    <w:link w:val="22"/>
    <w:qFormat/>
    <w:uiPriority w:val="9"/>
    <w:pPr>
      <w:keepNext/>
      <w:keepLines/>
      <w:spacing w:before="40" w:after="0"/>
      <w:outlineLvl w:val="5"/>
    </w:pPr>
    <w:rPr>
      <w:rFonts w:cs="宋体"/>
      <w:b/>
      <w:bCs/>
      <w:color w:val="2F5597"/>
    </w:rPr>
  </w:style>
  <w:style w:type="paragraph" w:styleId="8">
    <w:name w:val="heading 7"/>
    <w:basedOn w:val="1"/>
    <w:next w:val="1"/>
    <w:link w:val="23"/>
    <w:qFormat/>
    <w:uiPriority w:val="9"/>
    <w:pPr>
      <w:keepNext/>
      <w:keepLines/>
      <w:spacing w:before="40" w:after="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4"/>
    <w:qFormat/>
    <w:uiPriority w:val="9"/>
    <w:pPr>
      <w:keepNext/>
      <w:keepLines/>
      <w:spacing w:after="0"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5"/>
    <w:qFormat/>
    <w:uiPriority w:val="9"/>
    <w:pPr>
      <w:keepNext/>
      <w:keepLines/>
      <w:spacing w:after="0"/>
      <w:outlineLvl w:val="8"/>
    </w:pPr>
    <w:rPr>
      <w:rFonts w:eastAsia="等线 Light" w:cs="宋体"/>
      <w:color w:val="595959"/>
    </w:rPr>
  </w:style>
  <w:style w:type="character" w:default="1" w:styleId="16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="等线 Light" w:hAnsi="等线 Light" w:eastAsia="等线 Light" w:cs="宋体"/>
      <w:color w:val="2F5597"/>
      <w:sz w:val="48"/>
      <w:szCs w:val="48"/>
    </w:rPr>
  </w:style>
  <w:style w:type="character" w:customStyle="1" w:styleId="18">
    <w:name w:val="标题 2 字符"/>
    <w:basedOn w:val="16"/>
    <w:link w:val="3"/>
    <w:qFormat/>
    <w:uiPriority w:val="9"/>
    <w:rPr>
      <w:rFonts w:ascii="等线 Light" w:hAnsi="等线 Light" w:eastAsia="等线 Light" w:cs="宋体"/>
      <w:color w:val="2F5597"/>
      <w:sz w:val="40"/>
      <w:szCs w:val="40"/>
    </w:rPr>
  </w:style>
  <w:style w:type="character" w:customStyle="1" w:styleId="19">
    <w:name w:val="标题 3 字符"/>
    <w:basedOn w:val="16"/>
    <w:link w:val="4"/>
    <w:qFormat/>
    <w:uiPriority w:val="9"/>
    <w:rPr>
      <w:rFonts w:ascii="等线 Light" w:hAnsi="等线 Light" w:eastAsia="等线 Light" w:cs="宋体"/>
      <w:color w:val="2F5597"/>
      <w:sz w:val="32"/>
      <w:szCs w:val="32"/>
    </w:rPr>
  </w:style>
  <w:style w:type="character" w:customStyle="1" w:styleId="20">
    <w:name w:val="标题 4 字符"/>
    <w:basedOn w:val="16"/>
    <w:link w:val="5"/>
    <w:qFormat/>
    <w:uiPriority w:val="9"/>
    <w:rPr>
      <w:rFonts w:cs="宋体"/>
      <w:color w:val="2F5597"/>
      <w:sz w:val="28"/>
      <w:szCs w:val="28"/>
    </w:rPr>
  </w:style>
  <w:style w:type="character" w:customStyle="1" w:styleId="21">
    <w:name w:val="标题 5 字符"/>
    <w:basedOn w:val="16"/>
    <w:link w:val="6"/>
    <w:qFormat/>
    <w:uiPriority w:val="9"/>
    <w:rPr>
      <w:rFonts w:cs="宋体"/>
      <w:color w:val="2F5597"/>
      <w:sz w:val="24"/>
    </w:rPr>
  </w:style>
  <w:style w:type="character" w:customStyle="1" w:styleId="22">
    <w:name w:val="标题 6 字符"/>
    <w:basedOn w:val="16"/>
    <w:link w:val="7"/>
    <w:qFormat/>
    <w:uiPriority w:val="9"/>
    <w:rPr>
      <w:rFonts w:cs="宋体"/>
      <w:b/>
      <w:bCs/>
      <w:color w:val="2F5597"/>
    </w:rPr>
  </w:style>
  <w:style w:type="character" w:customStyle="1" w:styleId="23">
    <w:name w:val="标题 7 字符"/>
    <w:basedOn w:val="16"/>
    <w:link w:val="8"/>
    <w:qFormat/>
    <w:uiPriority w:val="9"/>
    <w:rPr>
      <w:rFonts w:cs="宋体"/>
      <w:b/>
      <w:bCs/>
      <w:color w:val="595959"/>
    </w:rPr>
  </w:style>
  <w:style w:type="character" w:customStyle="1" w:styleId="24">
    <w:name w:val="标题 8 字符"/>
    <w:basedOn w:val="16"/>
    <w:link w:val="9"/>
    <w:qFormat/>
    <w:uiPriority w:val="9"/>
    <w:rPr>
      <w:rFonts w:cs="宋体"/>
      <w:color w:val="595959"/>
    </w:rPr>
  </w:style>
  <w:style w:type="character" w:customStyle="1" w:styleId="25">
    <w:name w:val="标题 9 字符"/>
    <w:basedOn w:val="16"/>
    <w:link w:val="10"/>
    <w:qFormat/>
    <w:uiPriority w:val="9"/>
    <w:rPr>
      <w:rFonts w:eastAsia="等线 Light" w:cs="宋体"/>
      <w:color w:val="595959"/>
    </w:rPr>
  </w:style>
  <w:style w:type="character" w:customStyle="1" w:styleId="26">
    <w:name w:val="标题 字符"/>
    <w:basedOn w:val="16"/>
    <w:link w:val="14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3F3F3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_2399e41f-cc26-48b6-9cec-7d7a791ceba1"/>
    <w:basedOn w:val="16"/>
    <w:qFormat/>
    <w:uiPriority w:val="21"/>
    <w:rPr>
      <w:i/>
      <w:iCs/>
      <w:color w:val="2F5597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/>
    </w:rPr>
  </w:style>
  <w:style w:type="character" w:customStyle="1" w:styleId="34">
    <w:name w:val="Intense Reference_11616279-68e4-41ba-8f9e-698863303826"/>
    <w:basedOn w:val="16"/>
    <w:qFormat/>
    <w:uiPriority w:val="32"/>
    <w:rPr>
      <w:b/>
      <w:bCs/>
      <w:smallCaps/>
      <w:color w:val="2F5597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3123</Words>
  <Characters>3352</Characters>
  <Paragraphs>297</Paragraphs>
  <TotalTime>1</TotalTime>
  <ScaleCrop>false</ScaleCrop>
  <LinksUpToDate>false</LinksUpToDate>
  <CharactersWithSpaces>3989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2025-09-05T02:39:00Z</dcterms:created>
  <dc:creator>唐 宇琛</dc:creator>
  <cp:lastModifiedBy>心仪_Bourbon</cp:lastModifiedBy>
  <cp:lastPrinted>2025-09-05T05:21:00Z</cp:lastPrinted>
  <dcterms:modified xsi:type="dcterms:W3CDTF">2025-09-09T06:01:34Z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eyJoZGlkIjoiYWY5NDQ1YWNkMTI2NTRhOTBmMmE2ODY5M2RlODA5NTEiLCJ1c2VySWQiOiIyNjkyOTY1NjkifQ==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C55D9A8BA0164227A277A0AFA1A71318_13</vt:lpwstr>
  </property>
</Properties>
</file>